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F2F" w:rsidRPr="00DF4399" w:rsidRDefault="00ED1F2F" w:rsidP="00ED1F2F">
      <w:pPr>
        <w:snapToGrid w:val="0"/>
        <w:jc w:val="center"/>
        <w:rPr>
          <w:rFonts w:ascii="方正小标宋简体" w:eastAsia="方正小标宋简体" w:hAnsi="Verdana" w:hint="eastAsia"/>
          <w:b/>
          <w:color w:val="000000"/>
          <w:sz w:val="44"/>
          <w:szCs w:val="44"/>
        </w:rPr>
      </w:pPr>
      <w:r w:rsidRPr="00DF4399">
        <w:rPr>
          <w:rStyle w:val="a3"/>
          <w:rFonts w:ascii="方正小标宋简体" w:eastAsia="方正小标宋简体" w:hAnsi="Verdana" w:hint="eastAsia"/>
          <w:b w:val="0"/>
          <w:color w:val="000000"/>
          <w:sz w:val="44"/>
          <w:szCs w:val="44"/>
        </w:rPr>
        <w:t>高等学校学生学籍学历电子注册办法</w:t>
      </w:r>
    </w:p>
    <w:p w:rsidR="00ED1F2F" w:rsidRDefault="00ED1F2F" w:rsidP="00ED1F2F">
      <w:pPr>
        <w:rPr>
          <w:rStyle w:val="a3"/>
          <w:rFonts w:ascii="Verdana" w:hAnsi="Verdana" w:hint="eastAsia"/>
          <w:color w:val="000000"/>
        </w:rPr>
      </w:pPr>
    </w:p>
    <w:p w:rsidR="00ED1F2F" w:rsidRPr="00DF4399" w:rsidRDefault="00ED1F2F" w:rsidP="00ED1F2F">
      <w:pPr>
        <w:jc w:val="center"/>
        <w:rPr>
          <w:rFonts w:ascii="黑体" w:eastAsia="黑体" w:hAnsi="Verdana" w:hint="eastAsia"/>
          <w:b/>
          <w:color w:val="000000"/>
        </w:rPr>
      </w:pPr>
      <w:r w:rsidRPr="00DF4399">
        <w:rPr>
          <w:rStyle w:val="a3"/>
          <w:rFonts w:ascii="黑体" w:eastAsia="黑体" w:hAnsi="Verdana" w:hint="eastAsia"/>
          <w:b w:val="0"/>
          <w:color w:val="000000"/>
        </w:rPr>
        <w:t>第一章　总则</w:t>
      </w:r>
    </w:p>
    <w:p w:rsidR="00ED1F2F" w:rsidRDefault="00ED1F2F" w:rsidP="00ED1F2F">
      <w:pPr>
        <w:rPr>
          <w:rFonts w:ascii="Verdana" w:hAnsi="Verdana"/>
          <w:color w:val="000000"/>
        </w:rPr>
      </w:pPr>
      <w:r>
        <w:rPr>
          <w:rFonts w:ascii="Verdana" w:hAnsi="Verdana"/>
          <w:color w:val="000000"/>
        </w:rPr>
        <w:t xml:space="preserve">　　第一条</w:t>
      </w:r>
      <w:r>
        <w:rPr>
          <w:rFonts w:ascii="Verdana" w:hAnsi="Verdana" w:hint="eastAsia"/>
          <w:color w:val="000000"/>
        </w:rPr>
        <w:t xml:space="preserve">  </w:t>
      </w:r>
      <w:r>
        <w:rPr>
          <w:rFonts w:ascii="Verdana" w:hAnsi="Verdana"/>
          <w:color w:val="000000"/>
        </w:rPr>
        <w:t xml:space="preserve">为规范高等学校学生学籍学历电子注册，向高等学校、学生和社会提供便捷、客观、权威的学籍、学历信息查询、验证及认证服务，保护高等教育受教育者的合法权益，根据《中华人民共和国高等教育法》和《普通高等学校学生管理规定》制定本办法。　</w:t>
      </w:r>
    </w:p>
    <w:p w:rsidR="00ED1F2F" w:rsidRDefault="00ED1F2F" w:rsidP="00ED1F2F">
      <w:pPr>
        <w:rPr>
          <w:rFonts w:ascii="Verdana" w:hAnsi="Verdana"/>
          <w:color w:val="000000"/>
        </w:rPr>
      </w:pPr>
      <w:r>
        <w:rPr>
          <w:rFonts w:ascii="Verdana" w:hAnsi="Verdana"/>
          <w:color w:val="000000"/>
        </w:rPr>
        <w:t xml:space="preserve">　　第二条</w:t>
      </w:r>
      <w:r>
        <w:rPr>
          <w:rFonts w:ascii="Verdana" w:hAnsi="Verdana" w:hint="eastAsia"/>
          <w:color w:val="000000"/>
        </w:rPr>
        <w:t xml:space="preserve">  </w:t>
      </w:r>
      <w:r>
        <w:rPr>
          <w:rFonts w:ascii="Verdana" w:hAnsi="Verdana"/>
          <w:color w:val="000000"/>
        </w:rPr>
        <w:t>高等学校学生学籍学历电子注册是运用现代信息技术，对高等学校（含具有颁发国家承认学历文凭资格的公办、民办普通高等学校、成人高等学校，开放大学）和经批准承担培养研究生任务的科学研究机构（以下合并简称高等学校或学校）按国家规定录取的高等学历教育学生取得的学籍、获得的学历证书（</w:t>
      </w:r>
      <w:proofErr w:type="gramStart"/>
      <w:r>
        <w:rPr>
          <w:rFonts w:ascii="Verdana" w:hAnsi="Verdana"/>
          <w:color w:val="000000"/>
        </w:rPr>
        <w:t>含通过</w:t>
      </w:r>
      <w:proofErr w:type="gramEnd"/>
      <w:r>
        <w:rPr>
          <w:rFonts w:ascii="Verdana" w:hAnsi="Verdana"/>
          <w:color w:val="000000"/>
        </w:rPr>
        <w:t xml:space="preserve">高等教育自学考试获得的毕业证书）进行在线审核、电子标注、数据备案和网上查询的管理方式。　</w:t>
      </w:r>
      <w:r>
        <w:rPr>
          <w:rFonts w:ascii="Verdana" w:hAnsi="Verdana"/>
          <w:color w:val="000000"/>
        </w:rPr>
        <w:t> </w:t>
      </w:r>
    </w:p>
    <w:p w:rsidR="00ED1F2F" w:rsidRDefault="00ED1F2F" w:rsidP="00ED1F2F">
      <w:pPr>
        <w:rPr>
          <w:rFonts w:ascii="Verdana" w:hAnsi="Verdana"/>
          <w:color w:val="000000"/>
        </w:rPr>
      </w:pPr>
      <w:r>
        <w:rPr>
          <w:rFonts w:ascii="Verdana" w:hAnsi="Verdana"/>
          <w:color w:val="000000"/>
        </w:rPr>
        <w:t xml:space="preserve">　　第三条</w:t>
      </w:r>
      <w:r>
        <w:rPr>
          <w:rFonts w:ascii="Verdana" w:hAnsi="Verdana" w:hint="eastAsia"/>
          <w:color w:val="000000"/>
        </w:rPr>
        <w:t xml:space="preserve">  </w:t>
      </w:r>
      <w:r>
        <w:rPr>
          <w:rFonts w:ascii="Verdana" w:hAnsi="Verdana"/>
          <w:color w:val="000000"/>
        </w:rPr>
        <w:t xml:space="preserve">高等学校学历教育学生（含预科、专科、本科学生，少数民族骨干计划基础培训阶段研究生，硕士、博士研究生；华侨学生，来自香港、澳门、台湾地区学生以及国际学生）均须进行新生学籍电子注册、在校生学年电子注册、毕（结）业生学历证书电子注册。　</w:t>
      </w:r>
    </w:p>
    <w:p w:rsidR="00ED1F2F" w:rsidRDefault="00ED1F2F" w:rsidP="00ED1F2F">
      <w:pPr>
        <w:rPr>
          <w:rFonts w:ascii="Verdana" w:hAnsi="Verdana"/>
          <w:color w:val="000000"/>
        </w:rPr>
      </w:pPr>
      <w:r>
        <w:rPr>
          <w:rFonts w:ascii="Verdana" w:hAnsi="Verdana"/>
          <w:color w:val="000000"/>
        </w:rPr>
        <w:t xml:space="preserve">　　第四条</w:t>
      </w:r>
      <w:r>
        <w:rPr>
          <w:rFonts w:ascii="Verdana" w:hAnsi="Verdana" w:hint="eastAsia"/>
          <w:color w:val="000000"/>
        </w:rPr>
        <w:t xml:space="preserve">  </w:t>
      </w:r>
      <w:r>
        <w:rPr>
          <w:rFonts w:ascii="Verdana" w:hAnsi="Verdana"/>
          <w:color w:val="000000"/>
        </w:rPr>
        <w:t>高等学校学生学籍学历电子注册以高等学校为主体，由高等学校对符合国家规定、依法录取的学生学籍、毕（结）</w:t>
      </w:r>
      <w:r>
        <w:rPr>
          <w:rFonts w:ascii="Verdana" w:hAnsi="Verdana"/>
          <w:color w:val="000000"/>
        </w:rPr>
        <w:lastRenderedPageBreak/>
        <w:t xml:space="preserve">业生学历证书进行电子注册。省级教育行政部门依法对高等学校学生学籍学历电子注册工作进行监督和指导。　</w:t>
      </w:r>
    </w:p>
    <w:p w:rsidR="00ED1F2F" w:rsidRDefault="00ED1F2F" w:rsidP="00ED1F2F">
      <w:pPr>
        <w:rPr>
          <w:rFonts w:ascii="Verdana" w:hAnsi="Verdana"/>
          <w:color w:val="000000"/>
        </w:rPr>
      </w:pPr>
      <w:r>
        <w:rPr>
          <w:rFonts w:ascii="Verdana" w:hAnsi="Verdana"/>
          <w:color w:val="000000"/>
        </w:rPr>
        <w:t xml:space="preserve">　　高等教育自学考试毕业证书电子注册工作由教育部高等教育自学考试办公室进行管理和监督检查，省级高等教育自学考试委员会办公室组织实施。　</w:t>
      </w:r>
    </w:p>
    <w:p w:rsidR="00ED1F2F" w:rsidRDefault="00ED1F2F" w:rsidP="00ED1F2F">
      <w:pPr>
        <w:rPr>
          <w:rFonts w:ascii="Verdana" w:hAnsi="Verdana"/>
          <w:color w:val="000000"/>
        </w:rPr>
      </w:pPr>
      <w:r>
        <w:rPr>
          <w:rFonts w:ascii="Verdana" w:hAnsi="Verdana"/>
          <w:color w:val="000000"/>
        </w:rPr>
        <w:t xml:space="preserve">　　第五条</w:t>
      </w:r>
      <w:r>
        <w:rPr>
          <w:rFonts w:ascii="Verdana" w:hAnsi="Verdana" w:hint="eastAsia"/>
          <w:color w:val="000000"/>
        </w:rPr>
        <w:t xml:space="preserve">  </w:t>
      </w:r>
      <w:r>
        <w:rPr>
          <w:rFonts w:ascii="Verdana" w:hAnsi="Verdana"/>
          <w:color w:val="000000"/>
        </w:rPr>
        <w:t>中国高等教育学生信息网</w:t>
      </w:r>
      <w:r>
        <w:rPr>
          <w:rFonts w:ascii="Verdana" w:hAnsi="Verdana"/>
          <w:color w:val="000000"/>
        </w:rPr>
        <w:t>(</w:t>
      </w:r>
      <w:r>
        <w:rPr>
          <w:rFonts w:ascii="Verdana" w:hAnsi="Verdana"/>
          <w:color w:val="000000"/>
        </w:rPr>
        <w:t>以下简称学信网，网址</w:t>
      </w:r>
      <w:r>
        <w:rPr>
          <w:rFonts w:ascii="Verdana" w:hAnsi="Verdana"/>
          <w:color w:val="000000"/>
        </w:rPr>
        <w:t>http://www.chsi.com.cn)</w:t>
      </w:r>
      <w:r>
        <w:rPr>
          <w:rFonts w:ascii="Verdana" w:hAnsi="Verdana"/>
          <w:color w:val="000000"/>
        </w:rPr>
        <w:t xml:space="preserve">是高等学校学生学籍学历电子注册信息查询的唯一网站。　</w:t>
      </w:r>
    </w:p>
    <w:p w:rsidR="00ED1F2F" w:rsidRDefault="00ED1F2F" w:rsidP="00ED1F2F">
      <w:pPr>
        <w:rPr>
          <w:rFonts w:ascii="Verdana" w:hAnsi="Verdana"/>
          <w:color w:val="000000"/>
        </w:rPr>
      </w:pPr>
      <w:r>
        <w:rPr>
          <w:rFonts w:ascii="Verdana" w:hAnsi="Verdana"/>
          <w:color w:val="000000"/>
        </w:rPr>
        <w:t xml:space="preserve">　　第六条</w:t>
      </w:r>
      <w:r>
        <w:rPr>
          <w:rFonts w:ascii="Verdana" w:hAnsi="Verdana" w:hint="eastAsia"/>
          <w:color w:val="000000"/>
        </w:rPr>
        <w:t xml:space="preserve">  </w:t>
      </w:r>
      <w:r>
        <w:rPr>
          <w:rFonts w:ascii="Verdana" w:hAnsi="Verdana"/>
          <w:color w:val="000000"/>
        </w:rPr>
        <w:t>全国高等学校学生信息咨询与就业指导中心（以下简称就业指导中心）负责</w:t>
      </w:r>
      <w:proofErr w:type="gramStart"/>
      <w:r>
        <w:rPr>
          <w:rFonts w:ascii="Verdana" w:hAnsi="Verdana"/>
          <w:color w:val="000000"/>
        </w:rPr>
        <w:t>学信网的</w:t>
      </w:r>
      <w:proofErr w:type="gramEnd"/>
      <w:r>
        <w:rPr>
          <w:rFonts w:ascii="Verdana" w:hAnsi="Verdana"/>
          <w:color w:val="000000"/>
        </w:rPr>
        <w:t xml:space="preserve">运行与管理，承担高等学校学生学籍学历电子注册的技术保障、日常维护和网上查询、验证、认证等服务工作，独立承担因查询、验证及认证工作而产生的法律后果，接受教育部相关部门的监管。　　</w:t>
      </w:r>
    </w:p>
    <w:p w:rsidR="00ED1F2F" w:rsidRPr="00DF4399" w:rsidRDefault="00ED1F2F" w:rsidP="00ED1F2F">
      <w:pPr>
        <w:jc w:val="center"/>
        <w:rPr>
          <w:rFonts w:ascii="黑体" w:eastAsia="黑体" w:hAnsi="Verdana" w:hint="eastAsia"/>
          <w:b/>
          <w:color w:val="000000"/>
        </w:rPr>
      </w:pPr>
      <w:r w:rsidRPr="00DF4399">
        <w:rPr>
          <w:rStyle w:val="a3"/>
          <w:rFonts w:ascii="黑体" w:eastAsia="黑体" w:hAnsi="Verdana" w:hint="eastAsia"/>
          <w:b w:val="0"/>
          <w:color w:val="000000"/>
        </w:rPr>
        <w:t>第二章　学籍电子注册</w:t>
      </w:r>
    </w:p>
    <w:p w:rsidR="00ED1F2F" w:rsidRDefault="00ED1F2F" w:rsidP="00ED1F2F">
      <w:pPr>
        <w:rPr>
          <w:rFonts w:ascii="Verdana" w:hAnsi="Verdana"/>
          <w:color w:val="000000"/>
        </w:rPr>
      </w:pPr>
      <w:r>
        <w:rPr>
          <w:rFonts w:ascii="Verdana" w:hAnsi="Verdana"/>
          <w:color w:val="000000"/>
        </w:rPr>
        <w:t xml:space="preserve">　　第七条</w:t>
      </w:r>
      <w:r>
        <w:rPr>
          <w:rFonts w:ascii="Verdana" w:hAnsi="Verdana" w:hint="eastAsia"/>
          <w:color w:val="000000"/>
        </w:rPr>
        <w:t xml:space="preserve">  </w:t>
      </w:r>
      <w:r>
        <w:rPr>
          <w:rFonts w:ascii="Verdana" w:hAnsi="Verdana"/>
          <w:color w:val="000000"/>
        </w:rPr>
        <w:t xml:space="preserve">省级教育行政部门组织相关机构按照国家招生规定审核考生录取数据，将审核通过的数据报送教育部汇总复核后作为高等学校新生入学资格复查和学籍电子注册（以下简称学籍注册）的依据。　</w:t>
      </w:r>
    </w:p>
    <w:p w:rsidR="00ED1F2F" w:rsidRDefault="00ED1F2F" w:rsidP="00ED1F2F">
      <w:pPr>
        <w:rPr>
          <w:rFonts w:ascii="Verdana" w:hAnsi="Verdana"/>
          <w:color w:val="000000"/>
        </w:rPr>
      </w:pPr>
      <w:r>
        <w:rPr>
          <w:rFonts w:ascii="Verdana" w:hAnsi="Verdana"/>
          <w:color w:val="000000"/>
        </w:rPr>
        <w:t xml:space="preserve">　　第八条</w:t>
      </w:r>
      <w:r>
        <w:rPr>
          <w:rFonts w:ascii="Verdana" w:hAnsi="Verdana" w:hint="eastAsia"/>
          <w:color w:val="000000"/>
        </w:rPr>
        <w:t xml:space="preserve">  </w:t>
      </w:r>
      <w:r>
        <w:rPr>
          <w:rFonts w:ascii="Verdana" w:hAnsi="Verdana"/>
          <w:color w:val="000000"/>
        </w:rPr>
        <w:t xml:space="preserve">高等学校对报到新生进行录取、入学资格复查，对复查合格的学生予以学籍注册，复查不合格者取消入学资格；对放弃入学资格、保留入学资格、取消入学资格的学生予以标注。　</w:t>
      </w:r>
    </w:p>
    <w:p w:rsidR="00ED1F2F" w:rsidRDefault="00ED1F2F" w:rsidP="00ED1F2F">
      <w:pPr>
        <w:rPr>
          <w:rFonts w:ascii="Verdana" w:hAnsi="Verdana"/>
          <w:color w:val="000000"/>
        </w:rPr>
      </w:pPr>
      <w:r>
        <w:rPr>
          <w:rFonts w:ascii="Verdana" w:hAnsi="Verdana"/>
          <w:color w:val="000000"/>
        </w:rPr>
        <w:t xml:space="preserve">　　少数民族预科生和少数民族骨干计划基础培训阶段研究生</w:t>
      </w:r>
      <w:r>
        <w:rPr>
          <w:rFonts w:ascii="Verdana" w:hAnsi="Verdana"/>
          <w:color w:val="000000"/>
        </w:rPr>
        <w:lastRenderedPageBreak/>
        <w:t xml:space="preserve">的资格复查由招生学校负责。预科培养和骨干计划基础培训的预科学籍标注由培养培训学校负责。预科培养培训结业后转入招生学校，由招生学校进行新生资格复查和学籍注册。其他预科生由招生学校负责。　</w:t>
      </w:r>
    </w:p>
    <w:p w:rsidR="00ED1F2F" w:rsidRDefault="00ED1F2F" w:rsidP="00ED1F2F">
      <w:pPr>
        <w:rPr>
          <w:rFonts w:ascii="Verdana" w:hAnsi="Verdana"/>
          <w:color w:val="000000"/>
        </w:rPr>
      </w:pPr>
      <w:r>
        <w:rPr>
          <w:rFonts w:ascii="Verdana" w:hAnsi="Verdana"/>
          <w:color w:val="000000"/>
        </w:rPr>
        <w:t xml:space="preserve">　　普通高校学生（含专科、本科、硕士、博士、专科起点本科、第二学士学位等）在同一学习时段，只注册一个普通全日制学籍。跨校联合培养学生，在录取学校进行学籍注册。　</w:t>
      </w:r>
    </w:p>
    <w:p w:rsidR="00ED1F2F" w:rsidRDefault="00ED1F2F" w:rsidP="00ED1F2F">
      <w:pPr>
        <w:rPr>
          <w:rFonts w:ascii="Verdana" w:hAnsi="Verdana"/>
          <w:color w:val="000000"/>
        </w:rPr>
      </w:pPr>
      <w:r>
        <w:rPr>
          <w:rFonts w:ascii="Verdana" w:hAnsi="Verdana"/>
          <w:color w:val="000000"/>
        </w:rPr>
        <w:t xml:space="preserve">　　第九条</w:t>
      </w:r>
      <w:r>
        <w:rPr>
          <w:rFonts w:ascii="Verdana" w:hAnsi="Verdana" w:hint="eastAsia"/>
          <w:color w:val="000000"/>
        </w:rPr>
        <w:t xml:space="preserve">  </w:t>
      </w:r>
      <w:r>
        <w:rPr>
          <w:rFonts w:ascii="Verdana" w:hAnsi="Verdana"/>
          <w:color w:val="000000"/>
        </w:rPr>
        <w:t xml:space="preserve">按照特殊政策录取的学生应标注其录取类型。如定向招生专项计划（含免费医学、免费师范、非西藏生源定向西藏就业计划、扶贫计划等本科生，强军计划、援藏计划、少数民族骨干计划等研究生）、定向生、国防生、政法干警招录培养体制改革试点生等。　</w:t>
      </w:r>
    </w:p>
    <w:p w:rsidR="00ED1F2F" w:rsidRDefault="00ED1F2F" w:rsidP="00ED1F2F">
      <w:pPr>
        <w:rPr>
          <w:rFonts w:ascii="Verdana" w:hAnsi="Verdana"/>
          <w:color w:val="000000"/>
        </w:rPr>
      </w:pPr>
      <w:r>
        <w:rPr>
          <w:rFonts w:ascii="Verdana" w:hAnsi="Verdana"/>
          <w:color w:val="000000"/>
        </w:rPr>
        <w:t xml:space="preserve">　　第十条</w:t>
      </w:r>
      <w:r>
        <w:rPr>
          <w:rFonts w:ascii="Verdana" w:hAnsi="Verdana" w:hint="eastAsia"/>
          <w:color w:val="000000"/>
        </w:rPr>
        <w:t xml:space="preserve">  </w:t>
      </w:r>
      <w:r>
        <w:rPr>
          <w:rFonts w:ascii="Verdana" w:hAnsi="Verdana"/>
          <w:color w:val="000000"/>
        </w:rPr>
        <w:t xml:space="preserve">学校在学籍注册中发现录取数据有误或缺失的，由学校向省级招生部门提出申请，省级招生部门核实后将修改意见或补充录取数据报教育部，并将相关结果及时反馈学校。　</w:t>
      </w:r>
    </w:p>
    <w:p w:rsidR="00ED1F2F" w:rsidRDefault="00ED1F2F" w:rsidP="00ED1F2F">
      <w:pPr>
        <w:rPr>
          <w:rFonts w:ascii="Verdana" w:hAnsi="Verdana"/>
          <w:color w:val="000000"/>
        </w:rPr>
      </w:pPr>
      <w:r>
        <w:rPr>
          <w:rFonts w:ascii="Verdana" w:hAnsi="Verdana"/>
          <w:color w:val="000000"/>
        </w:rPr>
        <w:t xml:space="preserve">　　第十一条</w:t>
      </w:r>
      <w:r>
        <w:rPr>
          <w:rFonts w:ascii="Verdana" w:hAnsi="Verdana" w:hint="eastAsia"/>
          <w:color w:val="000000"/>
        </w:rPr>
        <w:t xml:space="preserve">  </w:t>
      </w:r>
      <w:r>
        <w:rPr>
          <w:rFonts w:ascii="Verdana" w:hAnsi="Verdana"/>
          <w:color w:val="000000"/>
        </w:rPr>
        <w:t>学籍注册后，学校应告知学生及时查询。学生可</w:t>
      </w:r>
      <w:proofErr w:type="gramStart"/>
      <w:r>
        <w:rPr>
          <w:rFonts w:ascii="Verdana" w:hAnsi="Verdana"/>
          <w:color w:val="000000"/>
        </w:rPr>
        <w:t>登录学信网</w:t>
      </w:r>
      <w:proofErr w:type="gramEnd"/>
      <w:r>
        <w:rPr>
          <w:rFonts w:ascii="Verdana" w:hAnsi="Verdana"/>
          <w:color w:val="000000"/>
        </w:rPr>
        <w:t xml:space="preserve">实名注册后查询、核实本人身份信息和学籍注册信息。　</w:t>
      </w:r>
    </w:p>
    <w:p w:rsidR="00ED1F2F" w:rsidRDefault="00ED1F2F" w:rsidP="00ED1F2F">
      <w:pPr>
        <w:rPr>
          <w:rFonts w:ascii="Verdana" w:hAnsi="Verdana"/>
          <w:color w:val="000000"/>
        </w:rPr>
      </w:pPr>
      <w:r>
        <w:rPr>
          <w:rFonts w:ascii="Verdana" w:hAnsi="Verdana"/>
          <w:color w:val="000000"/>
        </w:rPr>
        <w:t xml:space="preserve">　　第十二条</w:t>
      </w:r>
      <w:r>
        <w:rPr>
          <w:rFonts w:ascii="Verdana" w:hAnsi="Verdana" w:hint="eastAsia"/>
          <w:color w:val="000000"/>
        </w:rPr>
        <w:t xml:space="preserve">  </w:t>
      </w:r>
      <w:r>
        <w:rPr>
          <w:rFonts w:ascii="Verdana" w:hAnsi="Verdana"/>
          <w:color w:val="000000"/>
        </w:rPr>
        <w:t>高等学校从学生入学次年起至毕业，应在每学年第一学期进行学年电子注册（以下简称学年注册）。学年注册包括在校生新学年注册（含注册学籍、暂缓注册等）和上学年学籍变动（含留级、降级、跳级、休学、复学、转学、转专业、保留学籍等）、学籍记载（含学业考试情况、社会实践情况、奖惩情</w:t>
      </w:r>
      <w:r>
        <w:rPr>
          <w:rFonts w:ascii="Verdana" w:hAnsi="Verdana"/>
          <w:color w:val="000000"/>
        </w:rPr>
        <w:lastRenderedPageBreak/>
        <w:t>况等）、学籍注销</w:t>
      </w:r>
      <w:r>
        <w:rPr>
          <w:rFonts w:ascii="Verdana" w:hAnsi="Verdana"/>
          <w:color w:val="000000"/>
        </w:rPr>
        <w:t>(</w:t>
      </w:r>
      <w:r>
        <w:rPr>
          <w:rFonts w:ascii="Verdana" w:hAnsi="Verdana"/>
          <w:color w:val="000000"/>
        </w:rPr>
        <w:t>含退学、取消学籍、开除学籍、死亡等</w:t>
      </w:r>
      <w:r>
        <w:rPr>
          <w:rFonts w:ascii="Verdana" w:hAnsi="Verdana"/>
          <w:color w:val="000000"/>
        </w:rPr>
        <w:t>)</w:t>
      </w:r>
      <w:r>
        <w:rPr>
          <w:rFonts w:ascii="Verdana" w:hAnsi="Verdana"/>
          <w:color w:val="000000"/>
        </w:rPr>
        <w:t>以及学生取得的其他证书（含</w:t>
      </w:r>
      <w:proofErr w:type="gramStart"/>
      <w:r>
        <w:rPr>
          <w:rFonts w:ascii="Verdana" w:hAnsi="Verdana"/>
          <w:color w:val="000000"/>
        </w:rPr>
        <w:t>肄业</w:t>
      </w:r>
      <w:proofErr w:type="gramEnd"/>
      <w:r>
        <w:rPr>
          <w:rFonts w:ascii="Verdana" w:hAnsi="Verdana"/>
          <w:color w:val="000000"/>
        </w:rPr>
        <w:t xml:space="preserve">证书、学习证明等）的标注。实行学分制的学校无需标注留级、降级、跳级情况。　</w:t>
      </w:r>
    </w:p>
    <w:p w:rsidR="00ED1F2F" w:rsidRDefault="00ED1F2F" w:rsidP="00ED1F2F">
      <w:pPr>
        <w:rPr>
          <w:rFonts w:ascii="Verdana" w:hAnsi="Verdana"/>
          <w:color w:val="000000"/>
        </w:rPr>
      </w:pPr>
      <w:r>
        <w:rPr>
          <w:rFonts w:ascii="Verdana" w:hAnsi="Verdana"/>
          <w:color w:val="000000"/>
        </w:rPr>
        <w:t xml:space="preserve">　　第十三条</w:t>
      </w:r>
      <w:r>
        <w:rPr>
          <w:rFonts w:ascii="Verdana" w:hAnsi="Verdana" w:hint="eastAsia"/>
          <w:color w:val="000000"/>
        </w:rPr>
        <w:t xml:space="preserve">  </w:t>
      </w:r>
      <w:r>
        <w:rPr>
          <w:rFonts w:ascii="Verdana" w:hAnsi="Verdana"/>
          <w:color w:val="000000"/>
        </w:rPr>
        <w:t>学年注册在每学年第一学期开学后</w:t>
      </w:r>
      <w:r>
        <w:rPr>
          <w:rFonts w:ascii="Verdana" w:hAnsi="Verdana"/>
          <w:color w:val="000000"/>
        </w:rPr>
        <w:t>1</w:t>
      </w:r>
      <w:r>
        <w:rPr>
          <w:rFonts w:ascii="Verdana" w:hAnsi="Verdana"/>
          <w:color w:val="000000"/>
        </w:rPr>
        <w:t>个月内完成。学籍注销应在学籍处理后</w:t>
      </w:r>
      <w:r>
        <w:rPr>
          <w:rFonts w:ascii="Verdana" w:hAnsi="Verdana"/>
          <w:color w:val="000000"/>
        </w:rPr>
        <w:t>15</w:t>
      </w:r>
      <w:r>
        <w:rPr>
          <w:rFonts w:ascii="Verdana" w:hAnsi="Verdana"/>
          <w:color w:val="000000"/>
        </w:rPr>
        <w:t xml:space="preserve">个工作日内完成。　</w:t>
      </w:r>
    </w:p>
    <w:p w:rsidR="00ED1F2F" w:rsidRDefault="00ED1F2F" w:rsidP="00ED1F2F">
      <w:pPr>
        <w:rPr>
          <w:rFonts w:ascii="Verdana" w:hAnsi="Verdana"/>
          <w:color w:val="000000"/>
        </w:rPr>
      </w:pPr>
      <w:r>
        <w:rPr>
          <w:rFonts w:ascii="Verdana" w:hAnsi="Verdana"/>
          <w:color w:val="000000"/>
        </w:rPr>
        <w:t xml:space="preserve">　　第十四条</w:t>
      </w:r>
      <w:r>
        <w:rPr>
          <w:rFonts w:ascii="Verdana" w:hAnsi="Verdana" w:hint="eastAsia"/>
          <w:color w:val="000000"/>
        </w:rPr>
        <w:t xml:space="preserve">  </w:t>
      </w:r>
      <w:r>
        <w:rPr>
          <w:rFonts w:ascii="Verdana" w:hAnsi="Verdana"/>
          <w:color w:val="000000"/>
        </w:rPr>
        <w:t>学生离校</w:t>
      </w:r>
      <w:proofErr w:type="gramStart"/>
      <w:r>
        <w:rPr>
          <w:rFonts w:ascii="Verdana" w:hAnsi="Verdana"/>
          <w:color w:val="000000"/>
        </w:rPr>
        <w:t>后学信网</w:t>
      </w:r>
      <w:proofErr w:type="gramEnd"/>
      <w:r>
        <w:rPr>
          <w:rFonts w:ascii="Verdana" w:hAnsi="Verdana"/>
          <w:color w:val="000000"/>
        </w:rPr>
        <w:t xml:space="preserve">将学生的身份信息、学籍注册信息、学年注册信息作为学籍档案保存。　</w:t>
      </w:r>
      <w:r>
        <w:rPr>
          <w:rFonts w:ascii="Verdana" w:hAnsi="Verdana"/>
          <w:color w:val="000000"/>
        </w:rPr>
        <w:t> </w:t>
      </w:r>
    </w:p>
    <w:p w:rsidR="00ED1F2F" w:rsidRPr="00DF4399" w:rsidRDefault="00ED1F2F" w:rsidP="00ED1F2F">
      <w:pPr>
        <w:jc w:val="center"/>
        <w:rPr>
          <w:rFonts w:ascii="黑体" w:eastAsia="黑体" w:hAnsi="Verdana" w:hint="eastAsia"/>
          <w:b/>
          <w:color w:val="000000"/>
        </w:rPr>
      </w:pPr>
      <w:r w:rsidRPr="00DF4399">
        <w:rPr>
          <w:rStyle w:val="a3"/>
          <w:rFonts w:ascii="黑体" w:eastAsia="黑体" w:hAnsi="Verdana" w:hint="eastAsia"/>
          <w:b w:val="0"/>
          <w:color w:val="000000"/>
        </w:rPr>
        <w:t>第三章　学历电子注册</w:t>
      </w:r>
    </w:p>
    <w:p w:rsidR="00ED1F2F" w:rsidRDefault="00ED1F2F" w:rsidP="00ED1F2F">
      <w:pPr>
        <w:rPr>
          <w:rFonts w:ascii="Verdana" w:hAnsi="Verdana"/>
          <w:color w:val="000000"/>
        </w:rPr>
      </w:pPr>
      <w:r>
        <w:rPr>
          <w:rFonts w:ascii="Verdana" w:hAnsi="Verdana"/>
          <w:color w:val="000000"/>
        </w:rPr>
        <w:t xml:space="preserve">　　第十五条</w:t>
      </w:r>
      <w:r>
        <w:rPr>
          <w:rFonts w:ascii="Verdana" w:hAnsi="Verdana" w:hint="eastAsia"/>
          <w:color w:val="000000"/>
        </w:rPr>
        <w:t xml:space="preserve">  </w:t>
      </w:r>
      <w:r>
        <w:rPr>
          <w:rFonts w:ascii="Verdana" w:hAnsi="Verdana"/>
          <w:color w:val="000000"/>
        </w:rPr>
        <w:t xml:space="preserve">高等学校颁发的学历证书（含高等教育自学考试毕业证书），应进行学历证书电子注册（以下简称学历注册）。学历注册证书分毕业证书和结业证书两种。　</w:t>
      </w:r>
    </w:p>
    <w:p w:rsidR="00ED1F2F" w:rsidRDefault="00ED1F2F" w:rsidP="00ED1F2F">
      <w:pPr>
        <w:rPr>
          <w:rFonts w:ascii="Verdana" w:hAnsi="Verdana"/>
          <w:color w:val="000000"/>
        </w:rPr>
      </w:pPr>
      <w:r>
        <w:rPr>
          <w:rFonts w:ascii="Verdana" w:hAnsi="Verdana"/>
          <w:color w:val="000000"/>
        </w:rPr>
        <w:t xml:space="preserve">　　第十六条</w:t>
      </w:r>
      <w:r>
        <w:rPr>
          <w:rFonts w:ascii="Verdana" w:hAnsi="Verdana" w:hint="eastAsia"/>
          <w:color w:val="000000"/>
        </w:rPr>
        <w:t xml:space="preserve">  </w:t>
      </w:r>
      <w:r>
        <w:rPr>
          <w:rFonts w:ascii="Verdana" w:hAnsi="Verdana"/>
          <w:color w:val="000000"/>
        </w:rPr>
        <w:t xml:space="preserve">高等学校只能为取得本校学籍并进行学籍注册的学生颁发并注册一份学历证书。学生毕（结）业离校时，学校应颁发毕（结）业证书并完成学历注册。学生获得的辅修专业证书，应标注在主修学历证书注册信息中。　</w:t>
      </w:r>
    </w:p>
    <w:p w:rsidR="00ED1F2F" w:rsidRDefault="00ED1F2F" w:rsidP="00ED1F2F">
      <w:pPr>
        <w:rPr>
          <w:rFonts w:ascii="Verdana" w:hAnsi="Verdana"/>
          <w:color w:val="000000"/>
        </w:rPr>
      </w:pPr>
      <w:r>
        <w:rPr>
          <w:rFonts w:ascii="Verdana" w:hAnsi="Verdana"/>
          <w:color w:val="000000"/>
        </w:rPr>
        <w:t xml:space="preserve">　　第十七条</w:t>
      </w:r>
      <w:r>
        <w:rPr>
          <w:rFonts w:ascii="Verdana" w:hAnsi="Verdana" w:hint="eastAsia"/>
          <w:color w:val="000000"/>
        </w:rPr>
        <w:t xml:space="preserve">  </w:t>
      </w:r>
      <w:r>
        <w:rPr>
          <w:rFonts w:ascii="Verdana" w:hAnsi="Verdana"/>
          <w:color w:val="000000"/>
        </w:rPr>
        <w:t xml:space="preserve">学历注册信息应与学历证书内容保持一致。学历注册信息包括：姓名、性别、出生日期、照片；学习起止年月；专业、层次、学制、毕（结）业、学习形式；学校名称、校（院）长姓名及证书编号。　</w:t>
      </w:r>
    </w:p>
    <w:p w:rsidR="00ED1F2F" w:rsidRDefault="00ED1F2F" w:rsidP="00ED1F2F">
      <w:pPr>
        <w:rPr>
          <w:rFonts w:ascii="Verdana" w:hAnsi="Verdana"/>
          <w:color w:val="000000"/>
        </w:rPr>
      </w:pPr>
      <w:r>
        <w:rPr>
          <w:rFonts w:ascii="Verdana" w:hAnsi="Verdana"/>
          <w:color w:val="000000"/>
        </w:rPr>
        <w:t xml:space="preserve">　　学校应完整填报学历注册信息，信息不完整的不提供网上查询。　</w:t>
      </w:r>
    </w:p>
    <w:p w:rsidR="00ED1F2F" w:rsidRDefault="00ED1F2F" w:rsidP="00ED1F2F">
      <w:pPr>
        <w:rPr>
          <w:rFonts w:ascii="Verdana" w:hAnsi="Verdana"/>
          <w:color w:val="000000"/>
        </w:rPr>
      </w:pPr>
      <w:r>
        <w:rPr>
          <w:rFonts w:ascii="Verdana" w:hAnsi="Verdana"/>
          <w:color w:val="000000"/>
        </w:rPr>
        <w:t xml:space="preserve">　　第十八条</w:t>
      </w:r>
      <w:r>
        <w:rPr>
          <w:rFonts w:ascii="Verdana" w:hAnsi="Verdana" w:hint="eastAsia"/>
          <w:color w:val="000000"/>
        </w:rPr>
        <w:t xml:space="preserve">  </w:t>
      </w:r>
      <w:r>
        <w:rPr>
          <w:rFonts w:ascii="Verdana" w:hAnsi="Verdana"/>
          <w:color w:val="000000"/>
        </w:rPr>
        <w:t>学历证书发证日期应与学生毕业日期一致，发证</w:t>
      </w:r>
      <w:r>
        <w:rPr>
          <w:rFonts w:ascii="Verdana" w:hAnsi="Verdana"/>
          <w:color w:val="000000"/>
        </w:rPr>
        <w:lastRenderedPageBreak/>
        <w:t xml:space="preserve">日期即是学历注册提供网上查询的有效日期。　</w:t>
      </w:r>
    </w:p>
    <w:p w:rsidR="00ED1F2F" w:rsidRDefault="00ED1F2F" w:rsidP="00ED1F2F">
      <w:pPr>
        <w:rPr>
          <w:rFonts w:ascii="Verdana" w:hAnsi="Verdana"/>
          <w:color w:val="000000"/>
        </w:rPr>
      </w:pPr>
      <w:r>
        <w:rPr>
          <w:rFonts w:ascii="Verdana" w:hAnsi="Verdana"/>
          <w:color w:val="000000"/>
        </w:rPr>
        <w:t xml:space="preserve">　　第十九条</w:t>
      </w:r>
      <w:r>
        <w:rPr>
          <w:rFonts w:ascii="Verdana" w:hAnsi="Verdana" w:hint="eastAsia"/>
          <w:color w:val="000000"/>
        </w:rPr>
        <w:t xml:space="preserve">  </w:t>
      </w:r>
      <w:r>
        <w:rPr>
          <w:rFonts w:ascii="Verdana" w:hAnsi="Verdana"/>
          <w:color w:val="000000"/>
        </w:rPr>
        <w:t>学生在校期间修改或变更身份信息的，由学生本人提供合法性证明，学校或省级教育行政部门审核确认后更改，</w:t>
      </w:r>
      <w:proofErr w:type="gramStart"/>
      <w:r>
        <w:rPr>
          <w:rFonts w:ascii="Verdana" w:hAnsi="Verdana"/>
          <w:color w:val="000000"/>
        </w:rPr>
        <w:t>学信网保留</w:t>
      </w:r>
      <w:proofErr w:type="gramEnd"/>
      <w:r>
        <w:rPr>
          <w:rFonts w:ascii="Verdana" w:hAnsi="Verdana"/>
          <w:color w:val="000000"/>
        </w:rPr>
        <w:t xml:space="preserve">更改前的信息。学生要求修改、变更的信息或证明材料涉嫌弄虚作假的不予受理。　</w:t>
      </w:r>
    </w:p>
    <w:p w:rsidR="00ED1F2F" w:rsidRDefault="00ED1F2F" w:rsidP="00ED1F2F">
      <w:pPr>
        <w:rPr>
          <w:rFonts w:ascii="Verdana" w:hAnsi="Verdana"/>
          <w:color w:val="000000"/>
        </w:rPr>
      </w:pPr>
      <w:r>
        <w:rPr>
          <w:rFonts w:ascii="Verdana" w:hAnsi="Verdana"/>
          <w:color w:val="000000"/>
        </w:rPr>
        <w:t xml:space="preserve">　　学历注册并提供网上查询后，学校不得变更证书内容及注册信息，不再受理学生信息变更事宜。注册信息确有错误的，须经省级教育行政部门审核确认后方可修改。　</w:t>
      </w:r>
    </w:p>
    <w:p w:rsidR="00ED1F2F" w:rsidRDefault="00ED1F2F" w:rsidP="00ED1F2F">
      <w:pPr>
        <w:rPr>
          <w:rFonts w:ascii="Verdana" w:hAnsi="Verdana"/>
          <w:color w:val="000000"/>
        </w:rPr>
      </w:pPr>
      <w:r>
        <w:rPr>
          <w:rFonts w:ascii="Verdana" w:hAnsi="Verdana"/>
          <w:color w:val="000000"/>
        </w:rPr>
        <w:t xml:space="preserve">　　学历证书遗失的由学校出具相应的证明书并在学历注册信息中标注。　</w:t>
      </w:r>
    </w:p>
    <w:p w:rsidR="00ED1F2F" w:rsidRPr="00DF4399" w:rsidRDefault="00ED1F2F" w:rsidP="00ED1F2F">
      <w:pPr>
        <w:jc w:val="center"/>
        <w:rPr>
          <w:rFonts w:ascii="黑体" w:eastAsia="黑体" w:hAnsi="Verdana" w:hint="eastAsia"/>
          <w:b/>
          <w:color w:val="000000"/>
        </w:rPr>
      </w:pPr>
      <w:r w:rsidRPr="00DF4399">
        <w:rPr>
          <w:rStyle w:val="a3"/>
          <w:rFonts w:ascii="黑体" w:eastAsia="黑体" w:hAnsi="Verdana" w:hint="eastAsia"/>
          <w:b w:val="0"/>
          <w:color w:val="000000"/>
        </w:rPr>
        <w:t>第四章　查询及认证</w:t>
      </w:r>
    </w:p>
    <w:p w:rsidR="00ED1F2F" w:rsidRDefault="00ED1F2F" w:rsidP="00ED1F2F">
      <w:pPr>
        <w:rPr>
          <w:rFonts w:ascii="Verdana" w:hAnsi="Verdana"/>
          <w:color w:val="000000"/>
        </w:rPr>
      </w:pPr>
      <w:r>
        <w:rPr>
          <w:rFonts w:ascii="Verdana" w:hAnsi="Verdana"/>
          <w:color w:val="000000"/>
        </w:rPr>
        <w:t xml:space="preserve">　　第二十条</w:t>
      </w:r>
      <w:r>
        <w:rPr>
          <w:rFonts w:ascii="Verdana" w:hAnsi="Verdana" w:hint="eastAsia"/>
          <w:color w:val="000000"/>
        </w:rPr>
        <w:t xml:space="preserve">  </w:t>
      </w:r>
      <w:r>
        <w:rPr>
          <w:rFonts w:ascii="Verdana" w:hAnsi="Verdana"/>
          <w:color w:val="000000"/>
        </w:rPr>
        <w:t xml:space="preserve">就业指导中心依据复核备案的学籍学历电子注册信息，建立全国高等教育学生学籍学历电子注册数据库，为学生和社会提供查询、验证和认证服务。　</w:t>
      </w:r>
    </w:p>
    <w:p w:rsidR="00ED1F2F" w:rsidRDefault="00ED1F2F" w:rsidP="00ED1F2F">
      <w:pPr>
        <w:rPr>
          <w:rFonts w:ascii="Verdana" w:hAnsi="Verdana"/>
          <w:color w:val="000000"/>
        </w:rPr>
      </w:pPr>
      <w:r>
        <w:rPr>
          <w:rFonts w:ascii="Verdana" w:hAnsi="Verdana"/>
          <w:color w:val="000000"/>
        </w:rPr>
        <w:t xml:space="preserve">　　第二十一条</w:t>
      </w:r>
      <w:r>
        <w:rPr>
          <w:rFonts w:ascii="Verdana" w:hAnsi="Verdana" w:hint="eastAsia"/>
          <w:color w:val="000000"/>
        </w:rPr>
        <w:t xml:space="preserve">  </w:t>
      </w:r>
      <w:r>
        <w:rPr>
          <w:rFonts w:ascii="Verdana" w:hAnsi="Verdana"/>
          <w:color w:val="000000"/>
        </w:rPr>
        <w:t xml:space="preserve">学生可免费查询本人身份信息、学籍注册信息、学年注册信息和学历注册信息，也可查询本人学籍档案。社会其他部门及个人可依据学生提供的相关信息对学生身份信息、学籍注册信息、学年注册信息、学历注册信息和学生学籍档案进行查询、验证。　</w:t>
      </w:r>
    </w:p>
    <w:p w:rsidR="00ED1F2F" w:rsidRDefault="00ED1F2F" w:rsidP="00ED1F2F">
      <w:pPr>
        <w:rPr>
          <w:rFonts w:ascii="Verdana" w:hAnsi="Verdana"/>
          <w:color w:val="000000"/>
        </w:rPr>
      </w:pPr>
      <w:r>
        <w:rPr>
          <w:rFonts w:ascii="Verdana" w:hAnsi="Verdana"/>
          <w:color w:val="000000"/>
        </w:rPr>
        <w:t xml:space="preserve">　　第二十二条</w:t>
      </w:r>
      <w:r>
        <w:rPr>
          <w:rFonts w:ascii="Verdana" w:hAnsi="Verdana" w:hint="eastAsia"/>
          <w:color w:val="000000"/>
        </w:rPr>
        <w:t xml:space="preserve">  </w:t>
      </w:r>
      <w:r>
        <w:rPr>
          <w:rFonts w:ascii="Verdana" w:hAnsi="Verdana"/>
          <w:color w:val="000000"/>
        </w:rPr>
        <w:t>依据全国高等教育学生学籍学历电子注册数据库及相关证明材料，就业指导中心可提供认证服务，对申请人申请认证的学历证书或学籍材料的真实性、合法性、有效性进行</w:t>
      </w:r>
      <w:r>
        <w:rPr>
          <w:rFonts w:ascii="Verdana" w:hAnsi="Verdana"/>
          <w:color w:val="000000"/>
        </w:rPr>
        <w:lastRenderedPageBreak/>
        <w:t xml:space="preserve">认定。认证服务以申请人自愿原则进行。　</w:t>
      </w:r>
    </w:p>
    <w:p w:rsidR="00ED1F2F" w:rsidRPr="00DF4399" w:rsidRDefault="00ED1F2F" w:rsidP="00ED1F2F">
      <w:pPr>
        <w:jc w:val="center"/>
        <w:rPr>
          <w:rFonts w:ascii="黑体" w:eastAsia="黑体" w:hAnsi="Verdana" w:hint="eastAsia"/>
          <w:b/>
          <w:color w:val="000000"/>
        </w:rPr>
      </w:pPr>
      <w:r w:rsidRPr="00DF4399">
        <w:rPr>
          <w:rStyle w:val="a3"/>
          <w:rFonts w:ascii="黑体" w:eastAsia="黑体" w:hAnsi="Verdana" w:hint="eastAsia"/>
          <w:b w:val="0"/>
          <w:color w:val="000000"/>
        </w:rPr>
        <w:t>第五章　监管与责任</w:t>
      </w:r>
    </w:p>
    <w:p w:rsidR="00ED1F2F" w:rsidRDefault="00ED1F2F" w:rsidP="00ED1F2F">
      <w:pPr>
        <w:rPr>
          <w:rFonts w:ascii="Verdana" w:hAnsi="Verdana"/>
          <w:color w:val="000000"/>
        </w:rPr>
      </w:pPr>
      <w:r>
        <w:rPr>
          <w:rFonts w:ascii="Verdana" w:hAnsi="Verdana"/>
          <w:color w:val="000000"/>
        </w:rPr>
        <w:t xml:space="preserve">　　第二十三条</w:t>
      </w:r>
      <w:r>
        <w:rPr>
          <w:rFonts w:ascii="Verdana" w:hAnsi="Verdana" w:hint="eastAsia"/>
          <w:color w:val="000000"/>
        </w:rPr>
        <w:t xml:space="preserve">  </w:t>
      </w:r>
      <w:r>
        <w:rPr>
          <w:rFonts w:ascii="Verdana" w:hAnsi="Verdana"/>
          <w:color w:val="000000"/>
        </w:rPr>
        <w:t xml:space="preserve">各省、自治区、直辖市教育行政部门，各高等学校及其他教育机构、高等教育自学考试机构，应重视学生学籍学历电子注册工作，加强制度建设，规范工作流程，保障信息安全，强化管理与服务。　</w:t>
      </w:r>
    </w:p>
    <w:p w:rsidR="00ED1F2F" w:rsidRDefault="00ED1F2F" w:rsidP="00ED1F2F">
      <w:pPr>
        <w:rPr>
          <w:rFonts w:ascii="Verdana" w:hAnsi="Verdana"/>
          <w:color w:val="000000"/>
        </w:rPr>
      </w:pPr>
      <w:r>
        <w:rPr>
          <w:rFonts w:ascii="Verdana" w:hAnsi="Verdana"/>
          <w:color w:val="000000"/>
        </w:rPr>
        <w:t xml:space="preserve">　　第二十四条</w:t>
      </w:r>
      <w:r>
        <w:rPr>
          <w:rFonts w:ascii="Verdana" w:hAnsi="Verdana" w:hint="eastAsia"/>
          <w:color w:val="000000"/>
        </w:rPr>
        <w:t xml:space="preserve">  </w:t>
      </w:r>
      <w:r>
        <w:rPr>
          <w:rFonts w:ascii="Verdana" w:hAnsi="Verdana"/>
          <w:color w:val="000000"/>
        </w:rPr>
        <w:t xml:space="preserve">高等学校、教育行政部门、就业指导中心的采集、录入及管理服务人员应严格按照工作权限规范管理和服务，数据注册、标注、修改等应专人操作，严格遵守岗位制度、认真履行工作程序，确保数据注册及时准确。　</w:t>
      </w:r>
    </w:p>
    <w:p w:rsidR="00ED1F2F" w:rsidRDefault="00ED1F2F" w:rsidP="00ED1F2F">
      <w:pPr>
        <w:rPr>
          <w:rFonts w:ascii="Verdana" w:hAnsi="Verdana"/>
          <w:color w:val="000000"/>
        </w:rPr>
      </w:pPr>
      <w:r>
        <w:rPr>
          <w:rFonts w:ascii="Verdana" w:hAnsi="Verdana"/>
          <w:color w:val="000000"/>
        </w:rPr>
        <w:t xml:space="preserve">　　第二十五条</w:t>
      </w:r>
      <w:r>
        <w:rPr>
          <w:rFonts w:ascii="Verdana" w:hAnsi="Verdana" w:hint="eastAsia"/>
          <w:color w:val="000000"/>
        </w:rPr>
        <w:t xml:space="preserve">  </w:t>
      </w:r>
      <w:r>
        <w:rPr>
          <w:rFonts w:ascii="Verdana" w:hAnsi="Verdana"/>
          <w:color w:val="000000"/>
        </w:rPr>
        <w:t xml:space="preserve">各级管理部门及工作人员应依法正确采集、管理和使用学生信息。不得以任何非法形式展示、公布或分发学生身份信息。　</w:t>
      </w:r>
    </w:p>
    <w:p w:rsidR="00ED1F2F" w:rsidRDefault="00ED1F2F" w:rsidP="00ED1F2F">
      <w:pPr>
        <w:rPr>
          <w:rFonts w:ascii="Verdana" w:hAnsi="Verdana"/>
          <w:color w:val="000000"/>
        </w:rPr>
      </w:pPr>
      <w:r>
        <w:rPr>
          <w:rFonts w:ascii="Verdana" w:hAnsi="Verdana"/>
          <w:color w:val="000000"/>
        </w:rPr>
        <w:t xml:space="preserve">　　第二十六条</w:t>
      </w:r>
      <w:r>
        <w:rPr>
          <w:rFonts w:ascii="Verdana" w:hAnsi="Verdana" w:hint="eastAsia"/>
          <w:color w:val="000000"/>
        </w:rPr>
        <w:t xml:space="preserve">  </w:t>
      </w:r>
      <w:r>
        <w:rPr>
          <w:rFonts w:ascii="Verdana" w:hAnsi="Verdana"/>
          <w:color w:val="000000"/>
        </w:rPr>
        <w:t xml:space="preserve">对违反国家规定入学的学生，学校不得为其注册学籍和学历，已经注册的应予以注销。　</w:t>
      </w:r>
    </w:p>
    <w:p w:rsidR="00ED1F2F" w:rsidRDefault="00ED1F2F" w:rsidP="00ED1F2F">
      <w:pPr>
        <w:rPr>
          <w:rFonts w:ascii="Verdana" w:hAnsi="Verdana"/>
          <w:color w:val="000000"/>
        </w:rPr>
      </w:pPr>
      <w:r>
        <w:rPr>
          <w:rFonts w:ascii="Verdana" w:hAnsi="Verdana"/>
          <w:color w:val="000000"/>
        </w:rPr>
        <w:t xml:space="preserve">　　第二十七条</w:t>
      </w:r>
      <w:r>
        <w:rPr>
          <w:rFonts w:ascii="Verdana" w:hAnsi="Verdana" w:hint="eastAsia"/>
          <w:color w:val="000000"/>
        </w:rPr>
        <w:t xml:space="preserve">  </w:t>
      </w:r>
      <w:r>
        <w:rPr>
          <w:rFonts w:ascii="Verdana" w:hAnsi="Verdana"/>
          <w:color w:val="000000"/>
        </w:rPr>
        <w:t>有以下情形的，一经查实，追究有关人员和单位负责人的责任</w:t>
      </w:r>
      <w:r>
        <w:rPr>
          <w:rFonts w:ascii="Verdana" w:hAnsi="Verdana"/>
          <w:color w:val="000000"/>
        </w:rPr>
        <w:t>:</w:t>
      </w:r>
      <w:r>
        <w:rPr>
          <w:rFonts w:ascii="Verdana" w:hAnsi="Verdana"/>
          <w:color w:val="000000"/>
        </w:rPr>
        <w:t xml:space="preserve">　</w:t>
      </w:r>
    </w:p>
    <w:p w:rsidR="00ED1F2F" w:rsidRDefault="00ED1F2F" w:rsidP="00ED1F2F">
      <w:pPr>
        <w:rPr>
          <w:rFonts w:ascii="Verdana" w:hAnsi="Verdana"/>
          <w:color w:val="000000"/>
        </w:rPr>
      </w:pPr>
      <w:r>
        <w:rPr>
          <w:rFonts w:ascii="Verdana" w:hAnsi="Verdana"/>
          <w:color w:val="000000"/>
        </w:rPr>
        <w:t xml:space="preserve">　　（一）以虚假信息注册学籍学历的；　</w:t>
      </w:r>
    </w:p>
    <w:p w:rsidR="00ED1F2F" w:rsidRDefault="00ED1F2F" w:rsidP="00ED1F2F">
      <w:pPr>
        <w:rPr>
          <w:rFonts w:ascii="Verdana" w:hAnsi="Verdana"/>
          <w:color w:val="000000"/>
        </w:rPr>
      </w:pPr>
      <w:r>
        <w:rPr>
          <w:rFonts w:ascii="Verdana" w:hAnsi="Verdana"/>
          <w:color w:val="000000"/>
        </w:rPr>
        <w:t xml:space="preserve">　　（二）因密钥、密码管理不善造成学生信息违规变更的；　</w:t>
      </w:r>
    </w:p>
    <w:p w:rsidR="00ED1F2F" w:rsidRDefault="00ED1F2F" w:rsidP="00ED1F2F">
      <w:pPr>
        <w:rPr>
          <w:rFonts w:ascii="Verdana" w:hAnsi="Verdana"/>
          <w:color w:val="000000"/>
        </w:rPr>
      </w:pPr>
      <w:r>
        <w:rPr>
          <w:rFonts w:ascii="Verdana" w:hAnsi="Verdana"/>
          <w:color w:val="000000"/>
        </w:rPr>
        <w:t xml:space="preserve">　　（三）泄漏或将学生信息用于非法目的的；　</w:t>
      </w:r>
    </w:p>
    <w:p w:rsidR="00ED1F2F" w:rsidRDefault="00ED1F2F" w:rsidP="00ED1F2F">
      <w:pPr>
        <w:rPr>
          <w:rFonts w:ascii="Verdana" w:hAnsi="Verdana"/>
          <w:color w:val="000000"/>
        </w:rPr>
      </w:pPr>
      <w:r>
        <w:rPr>
          <w:rFonts w:ascii="Verdana" w:hAnsi="Verdana"/>
          <w:color w:val="000000"/>
        </w:rPr>
        <w:t xml:space="preserve">　　（四）违反本办法的其他行为。　</w:t>
      </w:r>
    </w:p>
    <w:p w:rsidR="00ED1F2F" w:rsidRPr="00DF4399" w:rsidRDefault="00ED1F2F" w:rsidP="00ED1F2F">
      <w:pPr>
        <w:jc w:val="center"/>
        <w:rPr>
          <w:rFonts w:ascii="黑体" w:eastAsia="黑体" w:hAnsi="Verdana" w:hint="eastAsia"/>
          <w:b/>
          <w:color w:val="000000"/>
        </w:rPr>
      </w:pPr>
      <w:r w:rsidRPr="00DF4399">
        <w:rPr>
          <w:rStyle w:val="a3"/>
          <w:rFonts w:ascii="黑体" w:eastAsia="黑体" w:hAnsi="Verdana" w:hint="eastAsia"/>
          <w:b w:val="0"/>
          <w:color w:val="000000"/>
        </w:rPr>
        <w:t>第六章　附则</w:t>
      </w:r>
    </w:p>
    <w:p w:rsidR="00ED1F2F" w:rsidRDefault="00ED1F2F" w:rsidP="00ED1F2F">
      <w:pPr>
        <w:ind w:firstLine="615"/>
        <w:rPr>
          <w:rFonts w:ascii="Verdana" w:hAnsi="Verdana" w:hint="eastAsia"/>
          <w:color w:val="000000"/>
        </w:rPr>
      </w:pPr>
      <w:r>
        <w:rPr>
          <w:rFonts w:ascii="Verdana" w:hAnsi="Verdana"/>
          <w:color w:val="000000"/>
        </w:rPr>
        <w:lastRenderedPageBreak/>
        <w:t>第二十八条</w:t>
      </w:r>
      <w:r>
        <w:rPr>
          <w:rFonts w:ascii="Verdana" w:hAnsi="Verdana" w:hint="eastAsia"/>
          <w:color w:val="000000"/>
        </w:rPr>
        <w:t xml:space="preserve">  </w:t>
      </w:r>
      <w:r>
        <w:rPr>
          <w:rFonts w:ascii="Verdana" w:hAnsi="Verdana"/>
          <w:color w:val="000000"/>
        </w:rPr>
        <w:t>本办法自</w:t>
      </w:r>
      <w:r>
        <w:rPr>
          <w:rFonts w:ascii="Verdana" w:hAnsi="Verdana"/>
          <w:color w:val="000000"/>
        </w:rPr>
        <w:t>2014</w:t>
      </w:r>
      <w:r>
        <w:rPr>
          <w:rFonts w:ascii="Verdana" w:hAnsi="Verdana"/>
          <w:color w:val="000000"/>
        </w:rPr>
        <w:t>年</w:t>
      </w:r>
      <w:r>
        <w:rPr>
          <w:rFonts w:ascii="Verdana" w:hAnsi="Verdana"/>
          <w:color w:val="000000"/>
        </w:rPr>
        <w:t>9</w:t>
      </w:r>
      <w:r>
        <w:rPr>
          <w:rFonts w:ascii="Verdana" w:hAnsi="Verdana"/>
          <w:color w:val="000000"/>
        </w:rPr>
        <w:t>月</w:t>
      </w:r>
      <w:r>
        <w:rPr>
          <w:rFonts w:ascii="Verdana" w:hAnsi="Verdana"/>
          <w:color w:val="000000"/>
        </w:rPr>
        <w:t>1</w:t>
      </w:r>
      <w:r>
        <w:rPr>
          <w:rFonts w:ascii="Verdana" w:hAnsi="Verdana"/>
          <w:color w:val="000000"/>
        </w:rPr>
        <w:t>日起施行。其他有关文件规定与本办法不一致的，以本办法为准。</w:t>
      </w:r>
    </w:p>
    <w:p w:rsidR="00ED1F2F" w:rsidRDefault="00ED1F2F" w:rsidP="00ED1F2F">
      <w:pPr>
        <w:rPr>
          <w:rFonts w:ascii="Verdana" w:hAnsi="Verdana" w:hint="eastAsia"/>
          <w:color w:val="000000"/>
        </w:rPr>
      </w:pPr>
    </w:p>
    <w:p w:rsidR="00ED1F2F" w:rsidRDefault="00ED1F2F" w:rsidP="00ED1F2F">
      <w:pPr>
        <w:rPr>
          <w:rFonts w:ascii="Verdana" w:hAnsi="Verdana" w:hint="eastAsia"/>
          <w:color w:val="000000"/>
        </w:rPr>
      </w:pPr>
    </w:p>
    <w:p w:rsidR="00ED1F2F" w:rsidRDefault="00ED1F2F" w:rsidP="00ED1F2F">
      <w:pPr>
        <w:rPr>
          <w:rFonts w:ascii="Verdana" w:hAnsi="Verdana" w:hint="eastAsia"/>
          <w:color w:val="000000"/>
        </w:rPr>
      </w:pPr>
    </w:p>
    <w:p w:rsidR="00ED1F2F" w:rsidRDefault="00ED1F2F" w:rsidP="00ED1F2F">
      <w:pPr>
        <w:rPr>
          <w:rFonts w:ascii="Verdana" w:hAnsi="Verdana" w:hint="eastAsia"/>
          <w:color w:val="000000"/>
        </w:rPr>
      </w:pPr>
    </w:p>
    <w:p w:rsidR="00ED1F2F" w:rsidRDefault="00ED1F2F" w:rsidP="00ED1F2F">
      <w:pPr>
        <w:rPr>
          <w:rFonts w:ascii="Verdana" w:hAnsi="Verdana" w:hint="eastAsia"/>
          <w:color w:val="000000"/>
        </w:rPr>
      </w:pPr>
    </w:p>
    <w:p w:rsidR="00ED1F2F" w:rsidRDefault="00ED1F2F" w:rsidP="00ED1F2F">
      <w:pPr>
        <w:rPr>
          <w:rFonts w:ascii="Verdana" w:hAnsi="Verdana" w:hint="eastAsia"/>
          <w:color w:val="000000"/>
        </w:rPr>
      </w:pPr>
    </w:p>
    <w:p w:rsidR="00ED1F2F" w:rsidRDefault="00ED1F2F" w:rsidP="00ED1F2F">
      <w:pPr>
        <w:rPr>
          <w:rFonts w:ascii="Verdana" w:hAnsi="Verdana" w:hint="eastAsia"/>
          <w:color w:val="000000"/>
        </w:rPr>
      </w:pPr>
    </w:p>
    <w:p w:rsidR="00ED1F2F" w:rsidRDefault="00ED1F2F" w:rsidP="00ED1F2F">
      <w:pPr>
        <w:rPr>
          <w:rFonts w:ascii="Verdana" w:hAnsi="Verdana" w:hint="eastAsia"/>
          <w:color w:val="000000"/>
        </w:rPr>
      </w:pPr>
    </w:p>
    <w:p w:rsidR="00ED1F2F" w:rsidRDefault="00ED1F2F" w:rsidP="00ED1F2F">
      <w:pPr>
        <w:rPr>
          <w:rFonts w:ascii="Verdana" w:hAnsi="Verdana" w:hint="eastAsia"/>
          <w:color w:val="000000"/>
        </w:rPr>
      </w:pPr>
    </w:p>
    <w:p w:rsidR="00ED1F2F" w:rsidRDefault="00ED1F2F" w:rsidP="00ED1F2F">
      <w:pPr>
        <w:rPr>
          <w:rFonts w:ascii="Verdana" w:hAnsi="Verdana" w:hint="eastAsia"/>
          <w:color w:val="000000"/>
        </w:rPr>
      </w:pPr>
    </w:p>
    <w:p w:rsidR="00ED1F2F" w:rsidRDefault="00ED1F2F" w:rsidP="00ED1F2F">
      <w:pPr>
        <w:rPr>
          <w:rFonts w:ascii="Verdana" w:hAnsi="Verdana" w:hint="eastAsia"/>
          <w:color w:val="000000"/>
        </w:rPr>
      </w:pPr>
    </w:p>
    <w:p w:rsidR="00ED1F2F" w:rsidRDefault="00ED1F2F" w:rsidP="00ED1F2F">
      <w:pPr>
        <w:rPr>
          <w:rFonts w:ascii="Verdana" w:hAnsi="Verdana" w:hint="eastAsia"/>
          <w:color w:val="000000"/>
        </w:rPr>
      </w:pPr>
    </w:p>
    <w:p w:rsidR="00ED1F2F" w:rsidRDefault="00ED1F2F" w:rsidP="00ED1F2F">
      <w:pPr>
        <w:rPr>
          <w:rFonts w:ascii="Verdana" w:hAnsi="Verdana" w:hint="eastAsia"/>
          <w:color w:val="000000"/>
        </w:rPr>
      </w:pPr>
    </w:p>
    <w:p w:rsidR="00ED1F2F" w:rsidRDefault="00ED1F2F" w:rsidP="00ED1F2F">
      <w:pPr>
        <w:rPr>
          <w:rFonts w:ascii="Verdana" w:hAnsi="Verdana" w:hint="eastAsia"/>
          <w:color w:val="000000"/>
        </w:rPr>
      </w:pPr>
    </w:p>
    <w:p w:rsidR="00ED1F2F" w:rsidRDefault="00ED1F2F" w:rsidP="00ED1F2F">
      <w:pPr>
        <w:rPr>
          <w:rFonts w:ascii="Verdana" w:hAnsi="Verdana" w:hint="eastAsia"/>
          <w:color w:val="000000"/>
        </w:rPr>
      </w:pPr>
      <w:bookmarkStart w:id="0" w:name="_GoBack"/>
      <w:bookmarkEnd w:id="0"/>
    </w:p>
    <w:p w:rsidR="00ED1F2F" w:rsidRPr="00DF4399" w:rsidRDefault="00ED1F2F" w:rsidP="00ED1F2F">
      <w:pPr>
        <w:ind w:left="1779" w:hangingChars="593" w:hanging="1779"/>
        <w:rPr>
          <w:rFonts w:ascii="仿宋_GB2312" w:hAnsi="宋体" w:hint="eastAsia"/>
          <w:color w:val="000000"/>
        </w:rPr>
      </w:pPr>
      <w:r>
        <w:rPr>
          <w:rFonts w:ascii="仿宋_GB2312" w:hAnsi="宋体" w:hint="eastAsia"/>
          <w:noProof/>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11800" cy="0"/>
                <wp:effectExtent l="5715" t="10160" r="6985" b="889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"/>
            </w:pict>
          </mc:Fallback>
        </mc:AlternateContent>
      </w:r>
      <w:r w:rsidRPr="00DF4399">
        <w:rPr>
          <w:rFonts w:ascii="仿宋_GB2312" w:hAnsi="宋体" w:hint="eastAsia"/>
          <w:color w:val="000000"/>
        </w:rPr>
        <w:t xml:space="preserve">  部内发送：部领导，办公厅、政法司、职成司、民族司、国际司、考试中心、就业指导中心</w:t>
      </w:r>
    </w:p>
    <w:p w:rsidR="00ED1F2F" w:rsidRPr="00DF4399" w:rsidRDefault="00ED1F2F" w:rsidP="00ED1F2F">
      <w:pPr>
        <w:rPr>
          <w:rFonts w:ascii="仿宋_GB2312" w:hAnsi="宋体" w:hint="eastAsia"/>
          <w:color w:val="000000"/>
        </w:rPr>
      </w:pPr>
      <w:r>
        <w:rPr>
          <w:rFonts w:ascii="Verdana" w:hAnsi="Verdana" w:hint="eastAsia"/>
          <w:noProof/>
          <w:color w:val="00000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372745</wp:posOffset>
                </wp:positionV>
                <wp:extent cx="5511800" cy="0"/>
                <wp:effectExtent l="5715" t="13970" r="6985" b="508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35pt" to="434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PyLQIAADM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"/>
            </w:pict>
          </mc:Fallback>
        </mc:AlternateContent>
      </w:r>
      <w:r>
        <w:rPr>
          <w:rFonts w:ascii="Verdana" w:hAnsi="Verdana" w:hint="eastAsia"/>
          <w:noProof/>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11800" cy="0"/>
                <wp:effectExtent l="5715" t="12700" r="6985" b="63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"/>
            </w:pict>
          </mc:Fallback>
        </mc:AlternateContent>
      </w:r>
      <w:r w:rsidRPr="00DF4399">
        <w:rPr>
          <w:rFonts w:ascii="仿宋_GB2312" w:hAnsi="宋体" w:hint="eastAsia"/>
          <w:color w:val="000000"/>
        </w:rPr>
        <w:t xml:space="preserve">  教育部办公厅   </w:t>
      </w:r>
      <w:r>
        <w:rPr>
          <w:rFonts w:ascii="仿宋_GB2312" w:hAnsi="宋体" w:hint="eastAsia"/>
          <w:color w:val="000000"/>
        </w:rPr>
        <w:t xml:space="preserve">  </w:t>
      </w:r>
      <w:r w:rsidRPr="00DF4399">
        <w:rPr>
          <w:rFonts w:ascii="仿宋_GB2312" w:hAnsi="宋体" w:hint="eastAsia"/>
          <w:color w:val="000000"/>
        </w:rPr>
        <w:t xml:space="preserve">  主动公开     2014年8月25日印发</w:t>
      </w:r>
    </w:p>
    <w:p w:rsidR="00221093" w:rsidRPr="00ED1F2F" w:rsidRDefault="00221093"/>
    <w:sectPr w:rsidR="00221093" w:rsidRPr="00ED1F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2F"/>
    <w:rsid w:val="00221093"/>
    <w:rsid w:val="00ED1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F2F"/>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D1F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F2F"/>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D1F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497</Words>
  <Characters>2833</Characters>
  <Application>Microsoft Office Word</Application>
  <DocSecurity>0</DocSecurity>
  <Lines>23</Lines>
  <Paragraphs>6</Paragraphs>
  <ScaleCrop>false</ScaleCrop>
  <Company>Microsoft</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2015-10-08T03:22:00Z</dcterms:created>
  <dcterms:modified xsi:type="dcterms:W3CDTF">2015-10-08T03:23:00Z</dcterms:modified>
</cp:coreProperties>
</file>